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A33" w:rsidRPr="007D5A33" w:rsidRDefault="007D5A33" w:rsidP="007D5A33">
      <w:pPr>
        <w:shd w:val="clear" w:color="auto" w:fill="FFFFFF"/>
        <w:spacing w:before="0" w:beforeAutospacing="0" w:after="0" w:line="270" w:lineRule="atLeast"/>
        <w:ind w:firstLine="708"/>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color w:val="003366"/>
          <w:sz w:val="24"/>
          <w:szCs w:val="24"/>
          <w:lang w:eastAsia="pl-PL"/>
        </w:rPr>
        <w:t xml:space="preserve">Podstawowe zasady sporządzania </w:t>
      </w:r>
      <w:proofErr w:type="spellStart"/>
      <w:r w:rsidRPr="007D5A33">
        <w:rPr>
          <w:rFonts w:ascii="Times New Roman" w:eastAsia="Times New Roman" w:hAnsi="Times New Roman" w:cs="Times New Roman"/>
          <w:color w:val="003366"/>
          <w:sz w:val="24"/>
          <w:szCs w:val="24"/>
          <w:lang w:eastAsia="pl-PL"/>
        </w:rPr>
        <w:t>cytostatyków</w:t>
      </w:r>
      <w:proofErr w:type="spellEnd"/>
      <w:r w:rsidRPr="007D5A33">
        <w:rPr>
          <w:rFonts w:ascii="Times New Roman" w:eastAsia="Times New Roman" w:hAnsi="Times New Roman" w:cs="Times New Roman"/>
          <w:color w:val="003366"/>
          <w:sz w:val="24"/>
          <w:szCs w:val="24"/>
          <w:lang w:eastAsia="pl-PL"/>
        </w:rPr>
        <w:t xml:space="preserve"> są jednoznaczne i podobne we wszystkich krajach Unii Europejskiej. Tylko bezwzględne ich przestrzeganie daje gwarancje otrzymywania leków należytej jakości, bez narażenia zdrowia człowieka i bezpieczeństwa środowiska. Przygotowanie roztworów leków parenteralnych zawierających cytostatyki, winno odbywać się w warunkach aseptycznych (leki jałowe) oraz w warunkach gwarantujących bezpieczeństwo pracy personelu.</w:t>
      </w:r>
    </w:p>
    <w:p w:rsidR="007D5A33" w:rsidRPr="007D5A33" w:rsidRDefault="007D5A33" w:rsidP="007D5A33">
      <w:pPr>
        <w:shd w:val="clear" w:color="auto" w:fill="FFFFFF"/>
        <w:spacing w:before="0" w:beforeAutospacing="0" w:after="0" w:line="270" w:lineRule="atLeast"/>
        <w:ind w:firstLine="708"/>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color w:val="003366"/>
          <w:sz w:val="24"/>
          <w:szCs w:val="24"/>
          <w:lang w:eastAsia="pl-PL"/>
        </w:rPr>
        <w:t>Uważam, za słuszne i wskazane organizowanie w szpitalach - </w:t>
      </w:r>
      <w:r w:rsidRPr="007D5A33">
        <w:rPr>
          <w:rFonts w:ascii="Times New Roman" w:eastAsia="Times New Roman" w:hAnsi="Times New Roman" w:cs="Times New Roman"/>
          <w:b/>
          <w:bCs/>
          <w:color w:val="003366"/>
          <w:sz w:val="24"/>
          <w:szCs w:val="24"/>
          <w:lang w:eastAsia="pl-PL"/>
        </w:rPr>
        <w:t xml:space="preserve">centralnych pracowni sporządzania </w:t>
      </w:r>
      <w:proofErr w:type="spellStart"/>
      <w:r w:rsidRPr="007D5A33">
        <w:rPr>
          <w:rFonts w:ascii="Times New Roman" w:eastAsia="Times New Roman" w:hAnsi="Times New Roman" w:cs="Times New Roman"/>
          <w:b/>
          <w:bCs/>
          <w:color w:val="003366"/>
          <w:sz w:val="24"/>
          <w:szCs w:val="24"/>
          <w:lang w:eastAsia="pl-PL"/>
        </w:rPr>
        <w:t>cytostatyków</w:t>
      </w:r>
      <w:proofErr w:type="spellEnd"/>
      <w:r w:rsidRPr="007D5A33">
        <w:rPr>
          <w:rFonts w:ascii="Times New Roman" w:eastAsia="Times New Roman" w:hAnsi="Times New Roman" w:cs="Times New Roman"/>
          <w:b/>
          <w:bCs/>
          <w:color w:val="003366"/>
          <w:sz w:val="24"/>
          <w:szCs w:val="24"/>
          <w:lang w:eastAsia="pl-PL"/>
        </w:rPr>
        <w:t>.</w:t>
      </w:r>
    </w:p>
    <w:p w:rsidR="007D5A33" w:rsidRPr="007D5A33" w:rsidRDefault="007D5A33" w:rsidP="007D5A33">
      <w:pPr>
        <w:shd w:val="clear" w:color="auto" w:fill="FFFFFF"/>
        <w:spacing w:before="0" w:beforeAutospacing="0" w:after="0" w:line="270" w:lineRule="atLeast"/>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color w:val="003366"/>
          <w:sz w:val="24"/>
          <w:szCs w:val="24"/>
          <w:lang w:eastAsia="pl-PL"/>
        </w:rPr>
        <w:t xml:space="preserve">Centralizacja sporządzania </w:t>
      </w:r>
      <w:proofErr w:type="spellStart"/>
      <w:r w:rsidRPr="007D5A33">
        <w:rPr>
          <w:rFonts w:ascii="Times New Roman" w:eastAsia="Times New Roman" w:hAnsi="Times New Roman" w:cs="Times New Roman"/>
          <w:color w:val="003366"/>
          <w:sz w:val="24"/>
          <w:szCs w:val="24"/>
          <w:lang w:eastAsia="pl-PL"/>
        </w:rPr>
        <w:t>cytostatyków</w:t>
      </w:r>
      <w:proofErr w:type="spellEnd"/>
      <w:r w:rsidRPr="007D5A33">
        <w:rPr>
          <w:rFonts w:ascii="Times New Roman" w:eastAsia="Times New Roman" w:hAnsi="Times New Roman" w:cs="Times New Roman"/>
          <w:color w:val="003366"/>
          <w:sz w:val="24"/>
          <w:szCs w:val="24"/>
          <w:lang w:eastAsia="pl-PL"/>
        </w:rPr>
        <w:t xml:space="preserve"> niewątpliwie zapewni wysoką jakość produktu końcowego (jałowość), zmniejszy ryzyko narażenia pacjentów, personelu i środowiska na toksyczne działanie preparatu, zminimalizuje ryzyko popełnianych błędów oraz zagwarantuje oszczędne gospodarowanie bardzo drogimi lekami. Personel centralnej pracowni przygotowywania leków cytostatycznych winien posiadać wiedzę z zakresu sporządzania dożylnych postaci leków, farmakologii, toksykologii, farmakokinetyki, właściwości fizykochemicznych, interakcji leków oraz znać przepisy prawne obowiązujące podczas przygotowywania tego rodzaju leków. Nie bez znaczenia jest też kwestia odpowiedzialności za jakość przygotowywanych preparatów oraz ekonomika gospodarki lekiem.</w:t>
      </w:r>
    </w:p>
    <w:p w:rsidR="007D5A33" w:rsidRPr="007D5A33" w:rsidRDefault="007D5A33" w:rsidP="007D5A33">
      <w:pPr>
        <w:shd w:val="clear" w:color="auto" w:fill="FFFFFF"/>
        <w:spacing w:before="0" w:beforeAutospacing="0" w:after="0" w:line="270" w:lineRule="atLeast"/>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 xml:space="preserve">Nadmieniam, że znaczna część </w:t>
      </w:r>
      <w:proofErr w:type="spellStart"/>
      <w:r w:rsidRPr="007D5A33">
        <w:rPr>
          <w:rFonts w:ascii="Times New Roman" w:eastAsia="Times New Roman" w:hAnsi="Times New Roman" w:cs="Times New Roman"/>
          <w:b/>
          <w:bCs/>
          <w:color w:val="003366"/>
          <w:sz w:val="24"/>
          <w:szCs w:val="24"/>
          <w:lang w:eastAsia="pl-PL"/>
        </w:rPr>
        <w:t>cytostatyków</w:t>
      </w:r>
      <w:proofErr w:type="spellEnd"/>
      <w:r w:rsidRPr="007D5A33">
        <w:rPr>
          <w:rFonts w:ascii="Times New Roman" w:eastAsia="Times New Roman" w:hAnsi="Times New Roman" w:cs="Times New Roman"/>
          <w:color w:val="003366"/>
          <w:sz w:val="24"/>
          <w:szCs w:val="24"/>
          <w:lang w:eastAsia="pl-PL"/>
        </w:rPr>
        <w:t xml:space="preserve"> (np. </w:t>
      </w:r>
      <w:proofErr w:type="spellStart"/>
      <w:r w:rsidRPr="007D5A33">
        <w:rPr>
          <w:rFonts w:ascii="Times New Roman" w:eastAsia="Times New Roman" w:hAnsi="Times New Roman" w:cs="Times New Roman"/>
          <w:color w:val="003366"/>
          <w:sz w:val="24"/>
          <w:szCs w:val="24"/>
          <w:lang w:eastAsia="pl-PL"/>
        </w:rPr>
        <w:t>Cladribinum</w:t>
      </w:r>
      <w:proofErr w:type="spellEnd"/>
      <w:r w:rsidRPr="007D5A33">
        <w:rPr>
          <w:rFonts w:ascii="Times New Roman" w:eastAsia="Times New Roman" w:hAnsi="Times New Roman" w:cs="Times New Roman"/>
          <w:color w:val="003366"/>
          <w:sz w:val="24"/>
          <w:szCs w:val="24"/>
          <w:lang w:eastAsia="pl-PL"/>
        </w:rPr>
        <w:t xml:space="preserve">, </w:t>
      </w:r>
      <w:proofErr w:type="spellStart"/>
      <w:r w:rsidRPr="007D5A33">
        <w:rPr>
          <w:rFonts w:ascii="Times New Roman" w:eastAsia="Times New Roman" w:hAnsi="Times New Roman" w:cs="Times New Roman"/>
          <w:color w:val="003366"/>
          <w:sz w:val="24"/>
          <w:szCs w:val="24"/>
          <w:lang w:eastAsia="pl-PL"/>
        </w:rPr>
        <w:t>Dacarbazinum</w:t>
      </w:r>
      <w:proofErr w:type="spellEnd"/>
      <w:r w:rsidRPr="007D5A33">
        <w:rPr>
          <w:rFonts w:ascii="Times New Roman" w:eastAsia="Times New Roman" w:hAnsi="Times New Roman" w:cs="Times New Roman"/>
          <w:color w:val="003366"/>
          <w:sz w:val="24"/>
          <w:szCs w:val="24"/>
          <w:lang w:eastAsia="pl-PL"/>
        </w:rPr>
        <w:t xml:space="preserve">, </w:t>
      </w:r>
      <w:proofErr w:type="spellStart"/>
      <w:r w:rsidRPr="007D5A33">
        <w:rPr>
          <w:rFonts w:ascii="Times New Roman" w:eastAsia="Times New Roman" w:hAnsi="Times New Roman" w:cs="Times New Roman"/>
          <w:color w:val="003366"/>
          <w:sz w:val="24"/>
          <w:szCs w:val="24"/>
          <w:lang w:eastAsia="pl-PL"/>
        </w:rPr>
        <w:t>Methotrexatum</w:t>
      </w:r>
      <w:proofErr w:type="spellEnd"/>
      <w:r w:rsidRPr="007D5A33">
        <w:rPr>
          <w:rFonts w:ascii="Times New Roman" w:eastAsia="Times New Roman" w:hAnsi="Times New Roman" w:cs="Times New Roman"/>
          <w:color w:val="003366"/>
          <w:sz w:val="24"/>
          <w:szCs w:val="24"/>
          <w:lang w:eastAsia="pl-PL"/>
        </w:rPr>
        <w:t xml:space="preserve">, </w:t>
      </w:r>
      <w:proofErr w:type="spellStart"/>
      <w:r w:rsidRPr="007D5A33">
        <w:rPr>
          <w:rFonts w:ascii="Times New Roman" w:eastAsia="Times New Roman" w:hAnsi="Times New Roman" w:cs="Times New Roman"/>
          <w:color w:val="003366"/>
          <w:sz w:val="24"/>
          <w:szCs w:val="24"/>
          <w:lang w:eastAsia="pl-PL"/>
        </w:rPr>
        <w:t>Paclitaxelum</w:t>
      </w:r>
      <w:proofErr w:type="spellEnd"/>
      <w:r w:rsidRPr="007D5A33">
        <w:rPr>
          <w:rFonts w:ascii="Times New Roman" w:eastAsia="Times New Roman" w:hAnsi="Times New Roman" w:cs="Times New Roman"/>
          <w:color w:val="003366"/>
          <w:sz w:val="24"/>
          <w:szCs w:val="24"/>
          <w:lang w:eastAsia="pl-PL"/>
        </w:rPr>
        <w:t>) </w:t>
      </w:r>
      <w:r w:rsidRPr="007D5A33">
        <w:rPr>
          <w:rFonts w:ascii="Times New Roman" w:eastAsia="Times New Roman" w:hAnsi="Times New Roman" w:cs="Times New Roman"/>
          <w:b/>
          <w:bCs/>
          <w:color w:val="003366"/>
          <w:sz w:val="24"/>
          <w:szCs w:val="24"/>
          <w:lang w:eastAsia="pl-PL"/>
        </w:rPr>
        <w:t>należy do wykazu A</w:t>
      </w:r>
      <w:r w:rsidRPr="007D5A33">
        <w:rPr>
          <w:rFonts w:ascii="Times New Roman" w:eastAsia="Times New Roman" w:hAnsi="Times New Roman" w:cs="Times New Roman"/>
          <w:color w:val="003366"/>
          <w:sz w:val="24"/>
          <w:szCs w:val="24"/>
          <w:lang w:eastAsia="pl-PL"/>
        </w:rPr>
        <w:t> (leków bardzo silnie działających), </w:t>
      </w:r>
      <w:r w:rsidRPr="007D5A33">
        <w:rPr>
          <w:rFonts w:ascii="Times New Roman" w:eastAsia="Times New Roman" w:hAnsi="Times New Roman" w:cs="Times New Roman"/>
          <w:b/>
          <w:bCs/>
          <w:color w:val="003366"/>
          <w:sz w:val="24"/>
          <w:szCs w:val="24"/>
          <w:lang w:eastAsia="pl-PL"/>
        </w:rPr>
        <w:t>których sporządzanie winno leżeć tylko w gestii farmaceutów.</w:t>
      </w:r>
    </w:p>
    <w:p w:rsidR="007D5A33" w:rsidRPr="007D5A33" w:rsidRDefault="007D5A33" w:rsidP="007D5A33">
      <w:pPr>
        <w:shd w:val="clear" w:color="auto" w:fill="FFFFFF"/>
        <w:spacing w:before="0" w:beforeAutospacing="0" w:after="0" w:line="270" w:lineRule="atLeast"/>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 xml:space="preserve">Biorąc pod uwagę wszystkie wyżej wymienione aspekty towarzyszące stosowaniu leków przeciwnowotworowych, wydaje się słuszne i celowe, by przygotowywaniem ich zajmowali się tylko farmaceuci. Takie rozwiązanie przewidziane jest w obowiązującym prawie </w:t>
      </w:r>
      <w:proofErr w:type="spellStart"/>
      <w:r w:rsidRPr="007D5A33">
        <w:rPr>
          <w:rFonts w:ascii="Times New Roman" w:eastAsia="Times New Roman" w:hAnsi="Times New Roman" w:cs="Times New Roman"/>
          <w:b/>
          <w:bCs/>
          <w:color w:val="003366"/>
          <w:sz w:val="24"/>
          <w:szCs w:val="24"/>
          <w:lang w:eastAsia="pl-PL"/>
        </w:rPr>
        <w:t>tj</w:t>
      </w:r>
      <w:proofErr w:type="spellEnd"/>
      <w:r w:rsidRPr="007D5A33">
        <w:rPr>
          <w:rFonts w:ascii="Times New Roman" w:eastAsia="Times New Roman" w:hAnsi="Times New Roman" w:cs="Times New Roman"/>
          <w:b/>
          <w:bCs/>
          <w:color w:val="003366"/>
          <w:sz w:val="24"/>
          <w:szCs w:val="24"/>
          <w:lang w:eastAsia="pl-PL"/>
        </w:rPr>
        <w:t>:</w:t>
      </w:r>
    </w:p>
    <w:p w:rsidR="007D5A33" w:rsidRPr="007D5A33" w:rsidRDefault="007D5A33" w:rsidP="007D5A33">
      <w:pPr>
        <w:shd w:val="clear" w:color="auto" w:fill="FFFFFF"/>
        <w:spacing w:before="0" w:beforeAutospacing="0" w:after="0" w:line="270" w:lineRule="atLeast"/>
        <w:ind w:left="360"/>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 xml:space="preserve">I.      Wytyczne dotyczące norm przygotowywania </w:t>
      </w:r>
      <w:proofErr w:type="spellStart"/>
      <w:r w:rsidRPr="007D5A33">
        <w:rPr>
          <w:rFonts w:ascii="Times New Roman" w:eastAsia="Times New Roman" w:hAnsi="Times New Roman" w:cs="Times New Roman"/>
          <w:b/>
          <w:bCs/>
          <w:color w:val="003366"/>
          <w:sz w:val="24"/>
          <w:szCs w:val="24"/>
          <w:lang w:eastAsia="pl-PL"/>
        </w:rPr>
        <w:t>cytostatyków</w:t>
      </w:r>
      <w:proofErr w:type="spellEnd"/>
      <w:r w:rsidRPr="007D5A33">
        <w:rPr>
          <w:rFonts w:ascii="Times New Roman" w:eastAsia="Times New Roman" w:hAnsi="Times New Roman" w:cs="Times New Roman"/>
          <w:b/>
          <w:bCs/>
          <w:color w:val="003366"/>
          <w:sz w:val="24"/>
          <w:szCs w:val="24"/>
          <w:lang w:eastAsia="pl-PL"/>
        </w:rPr>
        <w:t xml:space="preserve"> Rozporządzenie</w:t>
      </w:r>
    </w:p>
    <w:p w:rsidR="007D5A33" w:rsidRPr="007D5A33" w:rsidRDefault="007D5A33" w:rsidP="007D5A33">
      <w:pPr>
        <w:shd w:val="clear" w:color="auto" w:fill="FFFFFF"/>
        <w:spacing w:before="0" w:beforeAutospacing="0" w:after="0" w:line="270" w:lineRule="atLeast"/>
        <w:ind w:left="360"/>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Ministra Zdrowia i Opieki Społecznej z dnia 6 grudnia 1993r. oraz</w:t>
      </w:r>
    </w:p>
    <w:p w:rsidR="007D5A33" w:rsidRPr="007D5A33" w:rsidRDefault="007D5A33" w:rsidP="007D5A33">
      <w:pPr>
        <w:shd w:val="clear" w:color="auto" w:fill="FFFFFF"/>
        <w:spacing w:before="0" w:beforeAutospacing="0" w:after="0" w:line="270" w:lineRule="atLeast"/>
        <w:ind w:left="360"/>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z dnia 19 czerwca 1996 r. ze zmianą z dnia 31 sierpnia 2000 r.</w:t>
      </w:r>
    </w:p>
    <w:p w:rsidR="007D5A33" w:rsidRPr="007D5A33" w:rsidRDefault="007D5A33" w:rsidP="007D5A33">
      <w:pPr>
        <w:shd w:val="clear" w:color="auto" w:fill="FFFFFF"/>
        <w:spacing w:before="0" w:beforeAutospacing="0" w:after="0" w:line="270" w:lineRule="atLeast"/>
        <w:ind w:left="360"/>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II.  Ustawa - Prawo Farmaceutyczne z dnia 6 września 2001 r. (Dz. U. Nr 126 poz. 1381) wprowadziła w rozdziale 7 art. 86 p. 3 zapis:</w:t>
      </w:r>
    </w:p>
    <w:p w:rsidR="007D5A33" w:rsidRPr="007D5A33" w:rsidRDefault="007D5A33" w:rsidP="007D5A33">
      <w:pPr>
        <w:shd w:val="clear" w:color="auto" w:fill="FFFFFF"/>
        <w:spacing w:before="0" w:beforeAutospacing="0" w:after="0" w:line="270" w:lineRule="atLeast"/>
        <w:ind w:left="360"/>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W odniesieniu do aptek szpitalnych usługą farmaceutyczną jest również:</w:t>
      </w:r>
    </w:p>
    <w:p w:rsidR="007D5A33" w:rsidRPr="007D5A33" w:rsidRDefault="007D5A33" w:rsidP="007D5A33">
      <w:pPr>
        <w:shd w:val="clear" w:color="auto" w:fill="FFFFFF"/>
        <w:spacing w:before="0" w:beforeAutospacing="0" w:after="0" w:line="270" w:lineRule="atLeast"/>
        <w:ind w:left="360"/>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 3.) przygotowywanie leków w dawkach dziennych, w tym leków cytostatycznych.</w:t>
      </w:r>
    </w:p>
    <w:p w:rsidR="007D5A33" w:rsidRPr="007D5A33" w:rsidRDefault="007D5A33" w:rsidP="007D5A33">
      <w:pPr>
        <w:shd w:val="clear" w:color="auto" w:fill="FFFFFF"/>
        <w:spacing w:before="0" w:beforeAutospacing="0" w:after="0" w:line="270" w:lineRule="atLeast"/>
        <w:ind w:left="360"/>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III.              Dyrektywa 91/356/EEC</w:t>
      </w:r>
      <w:r w:rsidRPr="007D5A33">
        <w:rPr>
          <w:rFonts w:ascii="Times New Roman" w:eastAsia="Times New Roman" w:hAnsi="Times New Roman" w:cs="Times New Roman"/>
          <w:color w:val="003366"/>
          <w:sz w:val="24"/>
          <w:szCs w:val="24"/>
          <w:lang w:eastAsia="pl-PL"/>
        </w:rPr>
        <w:t>.</w:t>
      </w:r>
    </w:p>
    <w:p w:rsidR="007D5A33" w:rsidRPr="007D5A33" w:rsidRDefault="007D5A33" w:rsidP="007D5A33">
      <w:pPr>
        <w:shd w:val="clear" w:color="auto" w:fill="FFFFFF"/>
        <w:spacing w:before="0" w:beforeAutospacing="0" w:after="0" w:line="270" w:lineRule="atLeast"/>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color w:val="003366"/>
          <w:sz w:val="24"/>
          <w:szCs w:val="24"/>
          <w:lang w:eastAsia="pl-PL"/>
        </w:rPr>
        <w:t>Przyjęta w 1991r. Dyrektywa 91/356/EEC ustala zasady i instrukcje Dobrej Praktyki Wytwarzania (GMP) dla produktów farmaceutycznych. Dobra Praktyka Wytwarzania, jako część Systemu Zapewnienia Jakości, gwarantuje, że produkty są zawsze produkowane i kontrolowane wg standardów jakości, odpowiednio do ich zamierzonego użycia i według wymagań zgodnych z dokumentacją.</w:t>
      </w:r>
    </w:p>
    <w:p w:rsidR="007D5A33" w:rsidRPr="007D5A33" w:rsidRDefault="007D5A33" w:rsidP="007D5A33">
      <w:pPr>
        <w:shd w:val="clear" w:color="auto" w:fill="FFFFFF"/>
        <w:spacing w:before="0" w:beforeAutospacing="0" w:after="0" w:line="270" w:lineRule="atLeast"/>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b/>
          <w:bCs/>
          <w:color w:val="003366"/>
          <w:sz w:val="24"/>
          <w:szCs w:val="24"/>
          <w:lang w:eastAsia="pl-PL"/>
        </w:rPr>
        <w:t>Uważam, że zapis Rozporządzenia Ministra Zdrowia, Ustawy Prawo Farmaceutyczne oraz przyjętej Dyrektywy należy jak najszybciej wprowadzić w życie.</w:t>
      </w:r>
    </w:p>
    <w:p w:rsidR="007D5A33" w:rsidRPr="007D5A33" w:rsidRDefault="007D5A33" w:rsidP="007D5A33">
      <w:pPr>
        <w:shd w:val="clear" w:color="auto" w:fill="FFFFFF"/>
        <w:spacing w:before="0" w:beforeAutospacing="0" w:after="0" w:line="270" w:lineRule="atLeast"/>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color w:val="003366"/>
          <w:sz w:val="24"/>
          <w:szCs w:val="24"/>
          <w:lang w:eastAsia="pl-PL"/>
        </w:rPr>
        <w:t> </w:t>
      </w:r>
    </w:p>
    <w:p w:rsidR="007D5A33" w:rsidRPr="007D5A33" w:rsidRDefault="007D5A33" w:rsidP="007D5A33">
      <w:pPr>
        <w:shd w:val="clear" w:color="auto" w:fill="FFFFFF"/>
        <w:spacing w:before="0" w:beforeAutospacing="0" w:after="0" w:line="270" w:lineRule="atLeast"/>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color w:val="003366"/>
          <w:sz w:val="24"/>
          <w:szCs w:val="24"/>
          <w:lang w:eastAsia="pl-PL"/>
        </w:rPr>
        <w:t>Stanowisko zostało uzgodnione z Zarządem Głównym Polskiego Stowarzyszenia Pielęgniarek Onkologicznych</w:t>
      </w:r>
    </w:p>
    <w:p w:rsidR="007D5A33" w:rsidRPr="007D5A33" w:rsidRDefault="007D5A33" w:rsidP="007D5A33">
      <w:pPr>
        <w:shd w:val="clear" w:color="auto" w:fill="FFFFFF"/>
        <w:spacing w:before="0" w:beforeAutospacing="0" w:after="0" w:line="270" w:lineRule="atLeast"/>
        <w:jc w:val="both"/>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color w:val="003366"/>
          <w:sz w:val="24"/>
          <w:szCs w:val="24"/>
          <w:lang w:eastAsia="pl-PL"/>
        </w:rPr>
        <w:t> </w:t>
      </w:r>
    </w:p>
    <w:p w:rsidR="007D5A33" w:rsidRDefault="007D5A33" w:rsidP="007D5A33">
      <w:pPr>
        <w:shd w:val="clear" w:color="auto" w:fill="FFFFFF"/>
        <w:spacing w:before="0" w:beforeAutospacing="0" w:after="0" w:line="270" w:lineRule="atLeast"/>
        <w:ind w:left="4956" w:firstLine="708"/>
        <w:rPr>
          <w:rFonts w:ascii="Times New Roman" w:eastAsia="Times New Roman" w:hAnsi="Times New Roman" w:cs="Times New Roman"/>
          <w:color w:val="003366"/>
          <w:sz w:val="24"/>
          <w:szCs w:val="24"/>
          <w:lang w:val="en-US" w:eastAsia="pl-PL"/>
        </w:rPr>
      </w:pPr>
    </w:p>
    <w:p w:rsidR="007D5A33" w:rsidRPr="007D5A33" w:rsidRDefault="007D5A33" w:rsidP="007D5A33">
      <w:pPr>
        <w:shd w:val="clear" w:color="auto" w:fill="FFFFFF"/>
        <w:spacing w:before="0" w:beforeAutospacing="0" w:after="0" w:line="270" w:lineRule="atLeast"/>
        <w:ind w:left="6372"/>
        <w:rPr>
          <w:rFonts w:ascii="Trebuchet MS" w:eastAsia="Times New Roman" w:hAnsi="Trebuchet MS" w:cs="Times New Roman"/>
          <w:color w:val="000000"/>
          <w:sz w:val="20"/>
          <w:szCs w:val="20"/>
          <w:lang w:eastAsia="pl-PL"/>
        </w:rPr>
      </w:pPr>
      <w:r w:rsidRPr="007D5A33">
        <w:rPr>
          <w:rFonts w:ascii="Times New Roman" w:eastAsia="Times New Roman" w:hAnsi="Times New Roman" w:cs="Times New Roman"/>
          <w:color w:val="003366"/>
          <w:sz w:val="24"/>
          <w:szCs w:val="24"/>
          <w:lang w:val="en-US" w:eastAsia="pl-PL"/>
        </w:rPr>
        <w:t xml:space="preserve">Dr n. med. Anna </w:t>
      </w:r>
      <w:proofErr w:type="spellStart"/>
      <w:r w:rsidRPr="007D5A33">
        <w:rPr>
          <w:rFonts w:ascii="Times New Roman" w:eastAsia="Times New Roman" w:hAnsi="Times New Roman" w:cs="Times New Roman"/>
          <w:color w:val="003366"/>
          <w:sz w:val="24"/>
          <w:szCs w:val="24"/>
          <w:lang w:val="en-US" w:eastAsia="pl-PL"/>
        </w:rPr>
        <w:t>Koper</w:t>
      </w:r>
      <w:proofErr w:type="spellEnd"/>
    </w:p>
    <w:p w:rsidR="00963759" w:rsidRDefault="00963759"/>
    <w:sectPr w:rsidR="00963759" w:rsidSect="00963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D5A33"/>
    <w:rsid w:val="003453A2"/>
    <w:rsid w:val="0043504C"/>
    <w:rsid w:val="0073592C"/>
    <w:rsid w:val="007D5A33"/>
    <w:rsid w:val="00850E62"/>
    <w:rsid w:val="00930BC4"/>
    <w:rsid w:val="00963759"/>
    <w:rsid w:val="00E27E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00" w:beforeAutospacing="1"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375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7D5A33"/>
  </w:style>
  <w:style w:type="character" w:styleId="Pogrubienie">
    <w:name w:val="Strong"/>
    <w:basedOn w:val="Domylnaczcionkaakapitu"/>
    <w:uiPriority w:val="22"/>
    <w:qFormat/>
    <w:rsid w:val="007D5A33"/>
    <w:rPr>
      <w:b/>
      <w:bCs/>
    </w:rPr>
  </w:style>
  <w:style w:type="paragraph" w:styleId="Tekstpodstawowy2">
    <w:name w:val="Body Text 2"/>
    <w:basedOn w:val="Normalny"/>
    <w:link w:val="Tekstpodstawowy2Znak"/>
    <w:uiPriority w:val="99"/>
    <w:semiHidden/>
    <w:unhideWhenUsed/>
    <w:rsid w:val="007D5A33"/>
    <w:pPr>
      <w:spacing w:after="100" w:afterAutospacing="1"/>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7D5A33"/>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905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2531</Characters>
  <Application>Microsoft Office Word</Application>
  <DocSecurity>0</DocSecurity>
  <Lines>21</Lines>
  <Paragraphs>5</Paragraphs>
  <ScaleCrop>false</ScaleCrop>
  <Company>DOIPiP - WROCŁAW</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ewid1</dc:creator>
  <cp:keywords/>
  <dc:description/>
  <cp:lastModifiedBy>ewid1</cp:lastModifiedBy>
  <cp:revision>1</cp:revision>
  <dcterms:created xsi:type="dcterms:W3CDTF">2016-09-27T14:33:00Z</dcterms:created>
  <dcterms:modified xsi:type="dcterms:W3CDTF">2016-09-27T14:36:00Z</dcterms:modified>
</cp:coreProperties>
</file>